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177</w:t>
      </w:r>
    </w:p>
    <w:p>
      <w:r>
        <w:t>Bundesgericht (BGE), 1975-06-06, FR</w:t>
      </w:r>
    </w:p>
    <w:p>
      <w:r>
        <w:rPr>
          <w:b/>
        </w:rPr>
        <w:t xml:space="preserve">Quelle: </w:t>
      </w:r>
      <w:r>
        <w:t>https://mcp.opencaselaw.ch/entscheid/bge_101 V 177</w:t>
      </w:r>
    </w:p>
    <w:p>
      <w:r>
        <w:t>FR: ATF 101 V 177</w:t>
      </w:r>
    </w:p>
    <w:p>
      <w:r>
        <w:t>IT: DTF 101 V 177</w:t>
      </w:r>
    </w:p>
    <w:p>
      <w:pPr>
        <w:pStyle w:val="Heading2"/>
      </w:pPr>
      <w:r>
        <w:t>Regeste</w:t>
      </w:r>
    </w:p>
    <w:p>
      <w:r>
        <w:t>Regeste Berechnung der vom Nichterwerbstätigen geschuldeten persönlichen AHV/IV/EO-Beiträge (Art. 10 Abs. 1 AHVG und Art. 28-29 AHVV). - Die Grundlage dieser Berechnung umfasst nebst dem Vermögen der Ehefrau grundsätzlich auch dasjenige der minderjährigen Kinder sowie deren Einkünfte (Erw. 1). - Bewertung der Nutzniessung in diesem Bereich (Erw. 1). - Kapitalisierung der durch die Steuerbehörde pauschal ermittelten Vermögenseinkünfte.</w:t>
      </w:r>
    </w:p>
    <w:p>
      <w:pPr>
        <w:pStyle w:val="Heading2"/>
      </w:pPr>
      <w:r>
        <w:t>Erwägungen</w:t>
      </w:r>
    </w:p>
    <w:p>
      <w:r>
        <w:rPr>
          <w:b/>
        </w:rPr>
        <w:t>E. 1</w:t>
      </w:r>
    </w:p>
    <w:p>
      <w:r>
        <w:t>En vertu de l'art. 10 al. 1 ancien LAVS, les assurés n'exerçant aucune activité lucrative payaient en 1972 une cotisation de 40 fr. à 2'000 fr. par an. A ce montant s'ajoutaient les cotisations complémentaires AI/APG. En 1973, ces assurés payaient une cotisation AVS de 78 fr. à 7'800 fr. plus 8 fr. à 800 fr. pour l'assurance-invalidité et 4 fr. à 400 fr. pour les APG (art. 10 al. 1 nouveau LAVS, 3 al. 1 LAI, 27 al. 2 LAPG). Ils devaient verser de plus une participation aux frais d'administration. Conformément au mandat que lui confère la loi, le Conseil fédéral a édicté les prescriptions complémentaires relatives au calcul des cotisations AVS de la catégorie d'assurés en question. A l'art. 28 RAVS, il a institué une échelle de cotisations fondée sur la fortune de l'assuré, à laquelle s'ajoutent les revenus annuels sous forme de rente multipliés par 30. Aux termes de l'art. 29 RAVS: 1) La fortune des personnes n'exerçant aucune activité lucrative est déterminée par les autorités fiscales cantonales. La procédure prévue aux articles 22 à 27 est applicable par analogie. Le jour déterminant pour le calcul de la fortune est fixé conformément aux prescriptions correspondantes de la législation sur l'impôt pour la défense nationale; ces dispositions sont également applicables pour l'évaluation de la fortune. 2) La détermination du revenu acquis sous forme de rente incombe aux caisses de compensation, qui s'assurent à cet effet, dans la mesure du possible, la collaboration des autorités fiscales du canton de domicile.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(RO 98 V 92 consid. 2-4).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1er janvier 1970, qui met sur le même pied les biens de l'épouse et ceux de l'enfant (cf. RCC 1969, p. 340). BGE 101 V 177 S. 179 Une communication fiscale fondée sur la taxation extraordinaire des étrangers sans activité lucrative (impôt à forfait selon les dépenses annuelles) ne lie pas la caisse de compensation, qui n'en tiendra compte que si elle n'est pas en mesure d'établir la situation véritable de l'assuré (RO 100 V 202; RCC 1973, p. 398, 1968, p. 272). Le rendement de la fortune ne doit pas être assimilé à un revenu sous forme de rente et capitalisé comme tel, lorsque le montant de la fortune est connu ou que la caisse de compensation peut l'établir (RCC 1965, p. 93; dans le même sens, chiffre 266 al. 2 des directives). Quant au revenu provenant d'un usufruit, il ne constitue pas, lui non plus, une rente; le capital soumis à usufruit est ajouté à la fortune déterminante (RCC 1969, p. 340, 1953, p. 214; directives, chiffre 266 al. 1).</w:t>
      </w:r>
    </w:p>
    <w:p>
      <w:r>
        <w:rPr>
          <w:b/>
        </w:rPr>
        <w:t>E. 2</w:t>
      </w:r>
    </w:p>
    <w:p>
      <w:r>
        <w:t>La Caisse cantonale genevoise de compensation a capitalisé en le multipliant par 30 le revenu de la fortune du recourant que l'administration cantonale des impôts lui a communiqué. Il en est résulté une fortune déterminante de ... fr., à laquelle correspondait la cotisation maximum aussi bien selon le barème en vigueur en 1972 que selon celui de 1973. Or, il n'est pas établi qu'il fût pratiquement impossible de connaître la fortune réelle du recourant en date du 1er janvier 1971, premier jour de la période de taxation de l'IDN qui précédait immédiatement la période de cotisation 1972/1973 (art. 29 al. 1 RAVS et chiffre 276 des directives). Il a fourni sur sa situation à la fin de 1971 des renseignements qu'il pourrait sans doute donner pour le début de l'année et que l'administration apprécierait. Cette méthode serait conforme aux principes rappelés au considérant 1 ci-dessus. Ce n'est que si elle se révélait inutilisable que la caisse devrait recourir à la capitalisation du revenu forfaitaire évalué par l'autorité fiscale pour l'année 1971, conformément à la jurisprudence citée plus haut. Pour être utilisable, cette estimation devrait avoir été faite en application de l'art. 18bis AIN et non selon le droit cantonal, comme le voudrait le recourant. Le dossier n'indiquant pas le montant de ce revenu, l'instruction devrait être complétée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